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71" w:rsidRPr="001D4AD8" w:rsidRDefault="002F0B71" w:rsidP="002F0B71">
      <w:pPr>
        <w:tabs>
          <w:tab w:val="num" w:pos="840"/>
        </w:tabs>
        <w:ind w:left="360"/>
        <w:jc w:val="center"/>
        <w:rPr>
          <w:b/>
          <w:sz w:val="24"/>
          <w:szCs w:val="24"/>
          <w:lang w:val="ro-RO"/>
        </w:rPr>
      </w:pPr>
      <w:r w:rsidRPr="001D4AD8">
        <w:rPr>
          <w:b/>
          <w:sz w:val="24"/>
          <w:szCs w:val="24"/>
          <w:lang w:val="ro-RO"/>
        </w:rPr>
        <w:t>RELAŢIA DINTRE APLICAREA PROGRAMEI ŞCOLARE ŞI PROIECTAREA DEMERSULUI DIDACTIC</w:t>
      </w:r>
    </w:p>
    <w:p w:rsidR="002F0B71" w:rsidRDefault="002F0B71" w:rsidP="002F0B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</w:p>
    <w:p w:rsidR="002F0B71" w:rsidRPr="00C71830" w:rsidRDefault="002F0B71" w:rsidP="002F0B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 xml:space="preserve">Programa şcolară, ca parte componentă a curriculumului naţional, reprezintă un document şcolar de tip reglator fiind un instrument de lucru al </w:t>
      </w:r>
      <w:r>
        <w:rPr>
          <w:rFonts w:ascii="Times New Roman" w:hAnsi="Times New Roman"/>
          <w:lang w:val="ro-RO"/>
        </w:rPr>
        <w:t>profesorului</w:t>
      </w:r>
      <w:r w:rsidRPr="00C71830">
        <w:rPr>
          <w:rFonts w:ascii="Times New Roman" w:hAnsi="Times New Roman"/>
          <w:lang w:val="ro-RO"/>
        </w:rPr>
        <w:t xml:space="preserve">. Proiectarea demersului didactic, care pregăteşte desfăşurarea activităţii didactice din clasă, presupune parcurgerea de către </w:t>
      </w:r>
      <w:r>
        <w:rPr>
          <w:rFonts w:ascii="Times New Roman" w:hAnsi="Times New Roman"/>
          <w:lang w:val="ro-RO"/>
        </w:rPr>
        <w:t xml:space="preserve">profesor </w:t>
      </w:r>
      <w:r w:rsidRPr="00C71830">
        <w:rPr>
          <w:rFonts w:ascii="Times New Roman" w:hAnsi="Times New Roman"/>
          <w:lang w:val="ro-RO"/>
        </w:rPr>
        <w:t>a următorilor paşi:</w:t>
      </w:r>
    </w:p>
    <w:p w:rsidR="002F0B71" w:rsidRPr="00C71830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- </w:t>
      </w:r>
      <w:r w:rsidRPr="00C71830">
        <w:rPr>
          <w:rFonts w:ascii="Times New Roman" w:hAnsi="Times New Roman"/>
          <w:lang w:val="ro-RO"/>
        </w:rPr>
        <w:t xml:space="preserve"> lectura programei şcolare;</w:t>
      </w:r>
    </w:p>
    <w:p w:rsidR="002F0B71" w:rsidRPr="00C71830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- </w:t>
      </w:r>
      <w:r w:rsidRPr="00C71830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identificarea</w:t>
      </w:r>
      <w:r w:rsidRPr="00C71830">
        <w:rPr>
          <w:rFonts w:ascii="Times New Roman" w:hAnsi="Times New Roman"/>
          <w:lang w:val="ro-RO"/>
        </w:rPr>
        <w:t xml:space="preserve"> unităţilor de învăţare, care stau la baza realizării planificării calendaristice;</w:t>
      </w:r>
    </w:p>
    <w:p w:rsidR="002F0B71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-  </w:t>
      </w:r>
      <w:r w:rsidRPr="00C71830">
        <w:rPr>
          <w:rFonts w:ascii="Times New Roman" w:hAnsi="Times New Roman"/>
          <w:lang w:val="ro-RO"/>
        </w:rPr>
        <w:t>elaborarea planificării calendaristice</w:t>
      </w:r>
    </w:p>
    <w:p w:rsidR="002F0B71" w:rsidRPr="00C71830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-  proiectarea unităţilor de învăţare.</w:t>
      </w:r>
    </w:p>
    <w:p w:rsidR="002F0B71" w:rsidRDefault="002F0B71" w:rsidP="002F0B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 xml:space="preserve">Lectura integrală a programei şcolare şi înţelegerea logicii interne a acesteia reprezintă condiţii obligatorii în vederea proiectării </w:t>
      </w:r>
      <w:r>
        <w:rPr>
          <w:rFonts w:ascii="Times New Roman" w:hAnsi="Times New Roman"/>
          <w:lang w:val="ro-RO"/>
        </w:rPr>
        <w:t xml:space="preserve">eficiente a </w:t>
      </w:r>
      <w:r w:rsidRPr="00C71830">
        <w:rPr>
          <w:rFonts w:ascii="Times New Roman" w:hAnsi="Times New Roman"/>
          <w:lang w:val="ro-RO"/>
        </w:rPr>
        <w:t>activităţii didactice.</w:t>
      </w:r>
    </w:p>
    <w:p w:rsidR="002F0B71" w:rsidRPr="00C71830" w:rsidRDefault="002F0B71" w:rsidP="002F0B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>Elaborarea planificării calendaristice presupune parcurgerea următoarelor etape:</w:t>
      </w:r>
    </w:p>
    <w:p w:rsidR="002F0B71" w:rsidRPr="00C71830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pacing w:val="-4"/>
          <w:lang w:val="ro-RO"/>
        </w:rPr>
      </w:pPr>
      <w:r>
        <w:rPr>
          <w:rFonts w:ascii="Times New Roman" w:hAnsi="Times New Roman"/>
          <w:spacing w:val="-4"/>
          <w:lang w:val="ro-RO"/>
        </w:rPr>
        <w:t xml:space="preserve">- </w:t>
      </w:r>
      <w:r w:rsidRPr="00C71830">
        <w:rPr>
          <w:rFonts w:ascii="Times New Roman" w:hAnsi="Times New Roman"/>
          <w:spacing w:val="-4"/>
          <w:lang w:val="ro-RO"/>
        </w:rPr>
        <w:t xml:space="preserve"> </w:t>
      </w:r>
      <w:r w:rsidRPr="00C71830">
        <w:rPr>
          <w:rFonts w:ascii="Times New Roman" w:hAnsi="Times New Roman"/>
          <w:lang w:val="ro-RO"/>
        </w:rPr>
        <w:t>stabilirea unităţilor de învăţare;</w:t>
      </w:r>
    </w:p>
    <w:p w:rsidR="002F0B71" w:rsidRPr="00C71830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- </w:t>
      </w:r>
      <w:r w:rsidRPr="00C71830">
        <w:rPr>
          <w:rFonts w:ascii="Times New Roman" w:hAnsi="Times New Roman"/>
          <w:lang w:val="ro-RO"/>
        </w:rPr>
        <w:t xml:space="preserve"> stabilirea succesiunii parcurgerii unităţilor de învăţare;</w:t>
      </w:r>
    </w:p>
    <w:p w:rsidR="002F0B71" w:rsidRPr="00C71830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- </w:t>
      </w:r>
      <w:r w:rsidRPr="00C71830">
        <w:rPr>
          <w:rFonts w:ascii="Times New Roman" w:hAnsi="Times New Roman"/>
          <w:lang w:val="ro-RO"/>
        </w:rPr>
        <w:t xml:space="preserve"> </w:t>
      </w:r>
      <w:r w:rsidRPr="00C71830">
        <w:rPr>
          <w:rFonts w:ascii="Times New Roman" w:hAnsi="Times New Roman"/>
          <w:spacing w:val="-4"/>
          <w:lang w:val="ro-RO"/>
        </w:rPr>
        <w:t>asocierea competenţelor specifice şi a conţinuturilor prezentate în programa şcolară;</w:t>
      </w:r>
    </w:p>
    <w:p w:rsidR="002F0B71" w:rsidRDefault="002F0B71" w:rsidP="002F0B7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- </w:t>
      </w:r>
      <w:r w:rsidRPr="00C71830">
        <w:rPr>
          <w:rFonts w:ascii="Times New Roman" w:hAnsi="Times New Roman"/>
          <w:lang w:val="ro-RO"/>
        </w:rPr>
        <w:t xml:space="preserve"> stabilirea bugetului de timp necesar pentru fiecare unitate de învăţare.</w:t>
      </w:r>
    </w:p>
    <w:p w:rsidR="002F0B71" w:rsidRDefault="002F0B71" w:rsidP="002F0B71">
      <w:pPr>
        <w:pStyle w:val="ListParagraph"/>
        <w:spacing w:before="60" w:after="0" w:line="240" w:lineRule="auto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>Planificarea calendaristică poate fi realizată potrivit următorului tabel:</w:t>
      </w:r>
    </w:p>
    <w:p w:rsidR="002F0B71" w:rsidRPr="00195EA3" w:rsidRDefault="002F0B71" w:rsidP="002F0B71">
      <w:pPr>
        <w:pStyle w:val="ListParagraph"/>
        <w:spacing w:before="60" w:after="0" w:line="240" w:lineRule="auto"/>
        <w:jc w:val="both"/>
        <w:rPr>
          <w:rFonts w:ascii="Times New Roman" w:hAnsi="Times New Roman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67"/>
        <w:gridCol w:w="2057"/>
        <w:gridCol w:w="1230"/>
        <w:gridCol w:w="1280"/>
        <w:gridCol w:w="1880"/>
      </w:tblGrid>
      <w:tr w:rsidR="002F0B71" w:rsidRPr="000908EC" w:rsidTr="00325F8B">
        <w:tc>
          <w:tcPr>
            <w:tcW w:w="798" w:type="pct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Unităţi de învăţare</w:t>
            </w:r>
          </w:p>
        </w:tc>
        <w:tc>
          <w:tcPr>
            <w:tcW w:w="740" w:type="pct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Conţinuturi</w:t>
            </w:r>
          </w:p>
        </w:tc>
        <w:tc>
          <w:tcPr>
            <w:tcW w:w="1111" w:type="pct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Competenţe specifice</w:t>
            </w:r>
          </w:p>
        </w:tc>
        <w:tc>
          <w:tcPr>
            <w:tcW w:w="666" w:type="pct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Număr de ore alocate</w:t>
            </w:r>
          </w:p>
        </w:tc>
        <w:tc>
          <w:tcPr>
            <w:tcW w:w="669" w:type="pct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Săptămâna</w:t>
            </w:r>
          </w:p>
        </w:tc>
        <w:tc>
          <w:tcPr>
            <w:tcW w:w="1017" w:type="pct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2F0B71" w:rsidRPr="000908EC" w:rsidTr="00325F8B">
        <w:tc>
          <w:tcPr>
            <w:tcW w:w="798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fr-FR"/>
              </w:rPr>
            </w:pPr>
            <w:r w:rsidRPr="000908EC">
              <w:rPr>
                <w:rFonts w:ascii="Times New Roman" w:hAnsi="Times New Roman"/>
                <w:lang w:val="fr-FR"/>
              </w:rPr>
              <w:t>[</w:t>
            </w:r>
            <w:r w:rsidRPr="000908EC">
              <w:rPr>
                <w:rFonts w:ascii="Times New Roman" w:hAnsi="Times New Roman"/>
                <w:i/>
                <w:lang w:val="fr-FR"/>
              </w:rPr>
              <w:t xml:space="preserve">se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menţionează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titluri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>/</w:t>
            </w:r>
            <w:r w:rsidRPr="000908EC">
              <w:rPr>
                <w:rFonts w:ascii="Times New Roman" w:hAnsi="Times New Roman"/>
                <w:i/>
                <w:lang w:val="ro-RO"/>
              </w:rPr>
              <w:t>teme</w:t>
            </w:r>
            <w:r w:rsidRPr="000908EC">
              <w:rPr>
                <w:rFonts w:ascii="Times New Roman" w:hAnsi="Times New Roman"/>
                <w:lang w:val="fr-FR"/>
              </w:rPr>
              <w:t>]</w:t>
            </w:r>
          </w:p>
        </w:tc>
        <w:tc>
          <w:tcPr>
            <w:tcW w:w="740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0908EC">
              <w:rPr>
                <w:rFonts w:ascii="Times New Roman" w:hAnsi="Times New Roman"/>
                <w:lang w:val="it-IT"/>
              </w:rPr>
              <w:t>[</w:t>
            </w:r>
            <w:r w:rsidRPr="000908EC">
              <w:rPr>
                <w:rFonts w:ascii="Times New Roman" w:hAnsi="Times New Roman"/>
                <w:i/>
                <w:lang w:val="it-IT"/>
              </w:rPr>
              <w:t>din lista de conţinuturi a programei şcolare</w:t>
            </w:r>
            <w:r w:rsidRPr="000908EC">
              <w:rPr>
                <w:rFonts w:ascii="Times New Roman" w:hAnsi="Times New Roman"/>
                <w:lang w:val="it-IT"/>
              </w:rPr>
              <w:t>]</w:t>
            </w:r>
          </w:p>
        </w:tc>
        <w:tc>
          <w:tcPr>
            <w:tcW w:w="1111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908EC">
              <w:rPr>
                <w:rFonts w:ascii="Times New Roman" w:hAnsi="Times New Roman"/>
                <w:lang w:val="it-IT"/>
              </w:rPr>
              <w:t>[</w:t>
            </w:r>
            <w:r w:rsidRPr="000908EC">
              <w:rPr>
                <w:rFonts w:ascii="Times New Roman" w:hAnsi="Times New Roman"/>
                <w:i/>
                <w:spacing w:val="-4"/>
                <w:lang w:val="ro-RO"/>
              </w:rPr>
              <w:t>se precizează competenţele specifice din programa şcolară</w:t>
            </w:r>
            <w:r w:rsidRPr="000908EC">
              <w:rPr>
                <w:rFonts w:ascii="Times New Roman" w:hAnsi="Times New Roman"/>
                <w:lang w:val="it-IT"/>
              </w:rPr>
              <w:t>]</w:t>
            </w:r>
          </w:p>
        </w:tc>
        <w:tc>
          <w:tcPr>
            <w:tcW w:w="666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908EC">
              <w:rPr>
                <w:rFonts w:ascii="Times New Roman" w:hAnsi="Times New Roman"/>
                <w:lang w:val="fr-FR"/>
              </w:rPr>
              <w:t>[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stabilite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de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către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cadrul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didactic</w:t>
            </w:r>
            <w:proofErr w:type="spellEnd"/>
            <w:r w:rsidRPr="000908EC">
              <w:rPr>
                <w:rFonts w:ascii="Times New Roman" w:hAnsi="Times New Roman"/>
                <w:lang w:val="fr-FR"/>
              </w:rPr>
              <w:t>]</w:t>
            </w:r>
          </w:p>
        </w:tc>
        <w:tc>
          <w:tcPr>
            <w:tcW w:w="669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17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908EC">
              <w:rPr>
                <w:rFonts w:ascii="Times New Roman" w:hAnsi="Times New Roman"/>
                <w:lang w:val="fr-FR"/>
              </w:rPr>
              <w:t>[</w:t>
            </w:r>
            <w:r w:rsidRPr="000908EC">
              <w:rPr>
                <w:rFonts w:ascii="Times New Roman" w:hAnsi="Times New Roman"/>
                <w:i/>
                <w:lang w:val="fr-FR"/>
              </w:rPr>
              <w:t xml:space="preserve">se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menţionează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, de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exemplu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>,</w:t>
            </w:r>
            <w:r w:rsidRPr="000908EC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modificări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în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urma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realizarii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activităţii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didactice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la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clasă</w:t>
            </w:r>
            <w:proofErr w:type="spellEnd"/>
            <w:r w:rsidRPr="000908EC">
              <w:rPr>
                <w:rFonts w:ascii="Times New Roman" w:hAnsi="Times New Roman"/>
                <w:lang w:val="fr-FR"/>
              </w:rPr>
              <w:t>]</w:t>
            </w:r>
          </w:p>
        </w:tc>
      </w:tr>
      <w:tr w:rsidR="002F0B71" w:rsidRPr="000908EC" w:rsidTr="00325F8B">
        <w:trPr>
          <w:trHeight w:val="311"/>
        </w:trPr>
        <w:tc>
          <w:tcPr>
            <w:tcW w:w="798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40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11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6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9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17" w:type="pct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2F0B71" w:rsidRPr="00195EA3" w:rsidRDefault="002F0B71" w:rsidP="002F0B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ro-RO"/>
        </w:rPr>
      </w:pPr>
    </w:p>
    <w:p w:rsidR="002F0B71" w:rsidRPr="00C71830" w:rsidRDefault="002F0B71" w:rsidP="002F0B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 xml:space="preserve">În elaborarea planificării calendaristice, se recomandă consultarea, de către </w:t>
      </w:r>
      <w:r>
        <w:rPr>
          <w:rFonts w:ascii="Times New Roman" w:hAnsi="Times New Roman"/>
          <w:lang w:val="ro-RO"/>
        </w:rPr>
        <w:t>profesor</w:t>
      </w:r>
      <w:r w:rsidRPr="00C71830">
        <w:rPr>
          <w:rFonts w:ascii="Times New Roman" w:hAnsi="Times New Roman"/>
          <w:lang w:val="ro-RO"/>
        </w:rPr>
        <w:t xml:space="preserve"> a manualului şcolar utilizat în activitatea didactică.</w:t>
      </w:r>
      <w:r>
        <w:rPr>
          <w:rFonts w:ascii="Times New Roman" w:hAnsi="Times New Roman"/>
          <w:lang w:val="ro-RO"/>
        </w:rPr>
        <w:t xml:space="preserve"> În vederea desfăşurării activităţii cu elevii, cadrul didactic va selecta din manualul şcolar acele conţinuturi care corespund prevederilor programei şcolare.</w:t>
      </w:r>
    </w:p>
    <w:p w:rsidR="002F0B71" w:rsidRDefault="002F0B71" w:rsidP="002F0B71">
      <w:pPr>
        <w:pStyle w:val="ListParagraph"/>
        <w:spacing w:before="60"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</w:p>
    <w:p w:rsidR="002F0B71" w:rsidRDefault="002F0B71" w:rsidP="002F0B71">
      <w:pPr>
        <w:pStyle w:val="ListParagraph"/>
        <w:spacing w:before="60"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>Proiectarea unei unităţi de învăţare parcurge mai multe etape, care corespund abordării procesului didactic într-o succesiune logică. Aceste etape sunt prezentate în schema de mai jos:</w:t>
      </w:r>
    </w:p>
    <w:p w:rsidR="002F0B71" w:rsidRPr="00C71830" w:rsidRDefault="002F0B71" w:rsidP="002F0B71">
      <w:pPr>
        <w:pStyle w:val="ListParagraph"/>
        <w:spacing w:before="120"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</w:p>
    <w:p w:rsidR="002F0B71" w:rsidRDefault="002F0B71" w:rsidP="002F0B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</w:rPr>
      </w:r>
      <w:r w:rsidRPr="00C21AE5">
        <w:rPr>
          <w:rFonts w:ascii="Times New Roman" w:hAnsi="Times New Roman"/>
          <w:b/>
          <w:sz w:val="24"/>
          <w:szCs w:val="24"/>
          <w:lang w:val="ro-RO"/>
        </w:rPr>
        <w:pict>
          <v:group id="_x0000_s1026" editas="canvas" style="width:486pt;height:180pt;mso-position-horizontal-relative:char;mso-position-vertical-relative:line" coordorigin="2321,2913" coordsize="11053,41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1;top:2913;width:11053;height:41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26;top:3119;width:1987;height:851" strokeweight="2.25pt">
              <v:textbox style="mso-next-textbox:#_x0000_s1028" inset="1.72719mm,.86361mm,1.72719mm,.86361mm">
                <w:txbxContent>
                  <w:p w:rsidR="002F0B71" w:rsidRPr="0064689A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64689A">
                      <w:rPr>
                        <w:b/>
                        <w:bCs/>
                        <w:color w:val="333333"/>
                        <w:lang w:val="ro-RO"/>
                      </w:rPr>
                      <w:t>În ce scop voi face?</w:t>
                    </w:r>
                  </w:p>
                </w:txbxContent>
              </v:textbox>
            </v:shape>
            <v:shape id="_x0000_s1029" type="#_x0000_t202" style="position:absolute;left:5081;top:3119;width:1560;height:851" strokeweight="2.25pt">
              <v:textbox style="mso-next-textbox:#_x0000_s1029" inset="1.72719mm,.86361mm,1.72719mm,.86361mm">
                <w:txbxContent>
                  <w:p w:rsidR="002F0B71" w:rsidRPr="0064689A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333333"/>
                        <w:lang w:val="ro-RO"/>
                      </w:rPr>
                    </w:pPr>
                    <w:r w:rsidRPr="0064689A">
                      <w:rPr>
                        <w:b/>
                        <w:bCs/>
                        <w:color w:val="333333"/>
                        <w:lang w:val="ro-RO"/>
                      </w:rPr>
                      <w:t>Ce voi face?</w:t>
                    </w:r>
                  </w:p>
                </w:txbxContent>
              </v:textbox>
            </v:shape>
            <v:shape id="_x0000_s1030" type="#_x0000_t202" style="position:absolute;left:11466;top:3119;width:1703;height:827" strokeweight="2.25pt">
              <v:textbox style="mso-next-textbox:#_x0000_s1030" inset="1.72719mm,.86361mm,1.72719mm,.86361mm">
                <w:txbxContent>
                  <w:p w:rsidR="002F0B71" w:rsidRPr="0064689A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64689A">
                      <w:rPr>
                        <w:b/>
                        <w:bCs/>
                        <w:color w:val="333333"/>
                        <w:lang w:val="ro-RO"/>
                      </w:rPr>
                      <w:t>Cât s-a realizat?</w:t>
                    </w:r>
                  </w:p>
                </w:txbxContent>
              </v:textbox>
            </v:shape>
            <v:shape id="_x0000_s1031" type="#_x0000_t202" style="position:absolute;left:7210;top:3119;width:1560;height:827" strokeweight="2.25pt">
              <v:textbox style="mso-next-textbox:#_x0000_s1031" inset="1.72719mm,.86361mm,1.72719mm,.86361mm">
                <w:txbxContent>
                  <w:p w:rsidR="002F0B71" w:rsidRPr="0064689A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64689A">
                      <w:rPr>
                        <w:b/>
                        <w:bCs/>
                        <w:color w:val="333333"/>
                        <w:lang w:val="ro-RO"/>
                      </w:rPr>
                      <w:t>Cu ce voi face?</w:t>
                    </w:r>
                  </w:p>
                </w:txbxContent>
              </v:textbox>
            </v:shape>
            <v:shape id="_x0000_s1032" type="#_x0000_t202" style="position:absolute;left:9337;top:3119;width:1561;height:827" strokeweight="2.25pt">
              <v:textbox style="mso-next-textbox:#_x0000_s1032" inset="1.72719mm,.86361mm,1.72719mm,.86361mm">
                <w:txbxContent>
                  <w:p w:rsidR="002F0B71" w:rsidRPr="0064689A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64689A">
                      <w:rPr>
                        <w:b/>
                        <w:bCs/>
                        <w:color w:val="333333"/>
                        <w:lang w:val="ro-RO"/>
                      </w:rPr>
                      <w:t>Cum voi face?</w:t>
                    </w:r>
                  </w:p>
                </w:txbxContent>
              </v:textbox>
            </v:shape>
            <v:shape id="_x0000_s1033" type="#_x0000_t202" style="position:absolute;left:2526;top:5348;width:1987;height:933" strokeweight="2.25pt">
              <v:textbox style="mso-next-textbox:#_x0000_s1033" inset="1.72719mm,.86361mm,1.72719mm,.86361mm">
                <w:txbxContent>
                  <w:p w:rsidR="002F0B71" w:rsidRPr="0095675D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95675D">
                      <w:rPr>
                        <w:b/>
                        <w:bCs/>
                        <w:color w:val="333333"/>
                        <w:lang w:val="ro-RO"/>
                      </w:rPr>
                      <w:t>Identificarea</w:t>
                    </w:r>
                  </w:p>
                  <w:p w:rsidR="002F0B71" w:rsidRPr="0095675D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95675D">
                      <w:rPr>
                        <w:b/>
                        <w:bCs/>
                        <w:color w:val="333333"/>
                        <w:lang w:val="ro-RO"/>
                      </w:rPr>
                      <w:t>competenţelor</w:t>
                    </w:r>
                  </w:p>
                </w:txbxContent>
              </v:textbox>
            </v:shape>
            <v:shape id="_x0000_s1034" type="#_x0000_t202" style="position:absolute;left:4777;top:5348;width:2047;height:933" strokeweight="2.25pt">
              <v:textbox style="mso-next-textbox:#_x0000_s1034" inset="1.72719mm,.86361mm,1.72719mm,.86361mm">
                <w:txbxContent>
                  <w:p w:rsidR="002F0B71" w:rsidRPr="0095675D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95675D">
                      <w:rPr>
                        <w:b/>
                        <w:bCs/>
                        <w:color w:val="333333"/>
                        <w:lang w:val="ro-RO"/>
                      </w:rPr>
                      <w:t>Selectarea</w:t>
                    </w:r>
                  </w:p>
                  <w:p w:rsidR="002F0B71" w:rsidRPr="0095675D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95675D">
                      <w:rPr>
                        <w:b/>
                        <w:bCs/>
                        <w:color w:val="333333"/>
                        <w:lang w:val="ro-RO"/>
                      </w:rPr>
                      <w:t>conţinuturilor</w:t>
                    </w:r>
                  </w:p>
                </w:txbxContent>
              </v:textbox>
            </v:shape>
            <v:shape id="_x0000_s1035" type="#_x0000_t202" style="position:absolute;left:11327;top:5324;width:1842;height:957" strokeweight="2.25pt">
              <v:textbox style="mso-next-textbox:#_x0000_s1035" inset="1.72719mm,.86361mm,1.72719mm,.86361mm">
                <w:txbxContent>
                  <w:p w:rsidR="002F0B71" w:rsidRPr="000875C7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0875C7">
                      <w:rPr>
                        <w:b/>
                        <w:bCs/>
                        <w:color w:val="333333"/>
                        <w:lang w:val="ro-RO"/>
                      </w:rPr>
                      <w:t>Stabilirea</w:t>
                    </w:r>
                  </w:p>
                  <w:p w:rsidR="002F0B71" w:rsidRPr="000875C7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>
                      <w:rPr>
                        <w:b/>
                        <w:bCs/>
                        <w:color w:val="333333"/>
                        <w:lang w:val="ro-RO"/>
                      </w:rPr>
                      <w:t>i</w:t>
                    </w:r>
                    <w:r w:rsidRPr="000875C7">
                      <w:rPr>
                        <w:b/>
                        <w:bCs/>
                        <w:color w:val="333333"/>
                        <w:lang w:val="ro-RO"/>
                      </w:rPr>
                      <w:t>nstrumentelor</w:t>
                    </w:r>
                    <w:r>
                      <w:rPr>
                        <w:b/>
                        <w:bCs/>
                        <w:color w:val="333333"/>
                        <w:lang w:val="ro-RO"/>
                      </w:rPr>
                      <w:t xml:space="preserve"> de evaluare</w:t>
                    </w:r>
                  </w:p>
                  <w:p w:rsidR="002F0B71" w:rsidRPr="009F7931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sz w:val="19"/>
                        <w:szCs w:val="28"/>
                        <w:lang w:val="ro-RO"/>
                      </w:rPr>
                    </w:pPr>
                    <w:r w:rsidRPr="009F7931">
                      <w:rPr>
                        <w:b/>
                        <w:bCs/>
                        <w:color w:val="333333"/>
                        <w:sz w:val="19"/>
                        <w:szCs w:val="28"/>
                        <w:lang w:val="ro-RO"/>
                      </w:rPr>
                      <w:t>de evaluare</w:t>
                    </w:r>
                  </w:p>
                </w:txbxContent>
              </v:textbox>
            </v:shape>
            <v:shape id="_x0000_s1036" type="#_x0000_t202" style="position:absolute;left:7029;top:5324;width:1842;height:957" strokeweight="2.25pt">
              <v:textbox style="mso-next-textbox:#_x0000_s1036" inset="1.72719mm,.86361mm,1.72719mm,.86361mm">
                <w:txbxContent>
                  <w:p w:rsidR="002F0B71" w:rsidRPr="0095675D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95675D">
                      <w:rPr>
                        <w:b/>
                        <w:bCs/>
                        <w:color w:val="333333"/>
                        <w:lang w:val="ro-RO"/>
                      </w:rPr>
                      <w:t>Analiza</w:t>
                    </w:r>
                  </w:p>
                  <w:p w:rsidR="002F0B71" w:rsidRPr="0095675D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95675D">
                      <w:rPr>
                        <w:b/>
                        <w:bCs/>
                        <w:color w:val="333333"/>
                        <w:lang w:val="ro-RO"/>
                      </w:rPr>
                      <w:t>resurselor</w:t>
                    </w:r>
                  </w:p>
                </w:txbxContent>
              </v:textbox>
            </v:shape>
            <v:shape id="_x0000_s1037" type="#_x0000_t202" style="position:absolute;left:9076;top:5324;width:2046;height:957" strokeweight="2.25pt">
              <v:textbox style="mso-next-textbox:#_x0000_s1037" inset="1.72719mm,.86361mm,1.72719mm,.86361mm">
                <w:txbxContent>
                  <w:p w:rsidR="002F0B71" w:rsidRPr="0095675D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lang w:val="ro-RO"/>
                      </w:rPr>
                    </w:pPr>
                    <w:r w:rsidRPr="0095675D">
                      <w:rPr>
                        <w:b/>
                        <w:bCs/>
                        <w:color w:val="333333"/>
                        <w:lang w:val="ro-RO"/>
                      </w:rPr>
                      <w:t>Determinarea activităţilor de învăţare</w:t>
                    </w:r>
                  </w:p>
                  <w:p w:rsidR="002F0B71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sz w:val="19"/>
                        <w:szCs w:val="28"/>
                        <w:lang w:val="ro-RO"/>
                      </w:rPr>
                    </w:pPr>
                    <w:r>
                      <w:rPr>
                        <w:b/>
                        <w:bCs/>
                        <w:color w:val="333333"/>
                        <w:sz w:val="19"/>
                        <w:szCs w:val="28"/>
                        <w:lang w:val="ro-RO"/>
                      </w:rPr>
                      <w:t>de</w:t>
                    </w:r>
                  </w:p>
                  <w:p w:rsidR="002F0B71" w:rsidRPr="000875C7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sz w:val="19"/>
                        <w:szCs w:val="28"/>
                        <w:lang w:val="ro-RO"/>
                      </w:rPr>
                    </w:pPr>
                  </w:p>
                  <w:p w:rsidR="002F0B71" w:rsidRPr="009F7931" w:rsidRDefault="002F0B71" w:rsidP="002F0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333333"/>
                        <w:sz w:val="19"/>
                        <w:szCs w:val="28"/>
                        <w:lang w:val="ro-RO"/>
                      </w:rPr>
                    </w:pPr>
                    <w:r w:rsidRPr="009F7931">
                      <w:rPr>
                        <w:b/>
                        <w:bCs/>
                        <w:color w:val="333333"/>
                        <w:sz w:val="19"/>
                        <w:szCs w:val="28"/>
                        <w:lang w:val="ro-RO"/>
                      </w:rPr>
                      <w:t>de învăţare</w:t>
                    </w:r>
                  </w:p>
                </w:txbxContent>
              </v:textbox>
            </v:shape>
            <v:line id="_x0000_s1038" style="position:absolute" from="4371,3792" to="5364,3792" strokeweight="3pt">
              <v:stroke endarrow="block"/>
            </v:line>
            <v:line id="_x0000_s1039" style="position:absolute" from="6499,3792" to="7493,3792" strokeweight="3pt">
              <v:stroke endarrow="block"/>
            </v:line>
            <v:line id="_x0000_s1040" style="position:absolute" from="8628,3792" to="9527,3792" strokeweight="3pt">
              <v:stroke endarrow="block"/>
            </v:line>
            <v:line id="_x0000_s1041" style="position:absolute" from="10757,3792" to="11655,3792" strokeweight="3pt">
              <v:stroke endarrow="block"/>
            </v:line>
            <v:line id="_x0000_s1042" style="position:absolute;rotation:90" from="2974,4648" to="4063,4648" strokeweight="3pt">
              <v:stroke endarrow="block"/>
            </v:line>
            <v:line id="_x0000_s1043" style="position:absolute;rotation:90" from="5387,4648" to="6476,4648" strokeweight="3pt">
              <v:stroke endarrow="block"/>
            </v:line>
            <v:line id="_x0000_s1044" style="position:absolute;rotation:90" from="7373,4648" to="8462,4648" strokeweight="3pt">
              <v:stroke endarrow="block"/>
            </v:line>
            <v:line id="_x0000_s1045" style="position:absolute;rotation:90" from="9502,4648" to="10591,4648" strokeweight="3pt">
              <v:stroke endarrow="block"/>
            </v:line>
            <v:line id="_x0000_s1046" style="position:absolute;rotation:90" from="11631,4648" to="12720,4648" strokeweight="3pt">
              <v:stroke endarrow="block"/>
            </v:line>
            <v:line id="_x0000_s1047" style="position:absolute;rotation:180" from="3519,6281" to="3519,6748" strokeweight="2.25pt">
              <v:stroke endarrow="block"/>
            </v:line>
            <v:line id="_x0000_s1048" style="position:absolute;rotation:180" from="12176,6281" to="12176,6748" strokeweight="2.25pt">
              <v:stroke endarrow="block"/>
            </v:line>
            <v:line id="_x0000_s1049" style="position:absolute" from="3519,6748" to="12176,6748" strokeweight="2.25pt"/>
            <w10:wrap type="none"/>
            <w10:anchorlock/>
          </v:group>
        </w:pict>
      </w:r>
    </w:p>
    <w:p w:rsidR="002F0B71" w:rsidRPr="005A6723" w:rsidRDefault="002F0B71" w:rsidP="002F0B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B71" w:rsidRDefault="002F0B71" w:rsidP="002F0B71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lastRenderedPageBreak/>
        <w:t xml:space="preserve">O </w:t>
      </w:r>
      <w:r w:rsidRPr="005A00F6">
        <w:rPr>
          <w:rFonts w:ascii="Times New Roman" w:hAnsi="Times New Roman"/>
          <w:b/>
          <w:i/>
          <w:lang w:val="ro-RO"/>
        </w:rPr>
        <w:t>unitate de învăţare</w:t>
      </w:r>
      <w:r w:rsidRPr="00C71830">
        <w:rPr>
          <w:rFonts w:ascii="Times New Roman" w:hAnsi="Times New Roman"/>
          <w:lang w:val="ro-RO"/>
        </w:rPr>
        <w:t xml:space="preserve"> este o structură didactică</w:t>
      </w:r>
      <w:r>
        <w:rPr>
          <w:rFonts w:ascii="Times New Roman" w:hAnsi="Times New Roman"/>
          <w:lang w:val="ro-RO"/>
        </w:rPr>
        <w:t xml:space="preserve">: </w:t>
      </w:r>
    </w:p>
    <w:p w:rsidR="002F0B71" w:rsidRDefault="002F0B71" w:rsidP="002F0B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-</w:t>
      </w:r>
      <w:r w:rsidRPr="00C71830">
        <w:rPr>
          <w:rFonts w:ascii="Times New Roman" w:hAnsi="Times New Roman"/>
          <w:lang w:val="ro-RO"/>
        </w:rPr>
        <w:t xml:space="preserve"> deschisă şi flexibilă, </w:t>
      </w:r>
    </w:p>
    <w:p w:rsidR="002F0B71" w:rsidRDefault="002F0B71" w:rsidP="002F0B71">
      <w:pPr>
        <w:pStyle w:val="ListParagraph"/>
        <w:numPr>
          <w:ilvl w:val="1"/>
          <w:numId w:val="1"/>
        </w:numPr>
        <w:tabs>
          <w:tab w:val="clear" w:pos="1080"/>
          <w:tab w:val="num" w:pos="851"/>
        </w:tabs>
        <w:spacing w:after="0" w:line="240" w:lineRule="auto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 xml:space="preserve">unitară din punct de vedere tematic, </w:t>
      </w:r>
    </w:p>
    <w:p w:rsidR="002F0B71" w:rsidRDefault="002F0B71" w:rsidP="002F0B71">
      <w:pPr>
        <w:pStyle w:val="ListParagraph"/>
        <w:numPr>
          <w:ilvl w:val="1"/>
          <w:numId w:val="1"/>
        </w:numPr>
        <w:tabs>
          <w:tab w:val="clear" w:pos="1080"/>
          <w:tab w:val="num" w:pos="851"/>
        </w:tabs>
        <w:spacing w:after="0" w:line="240" w:lineRule="auto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 xml:space="preserve">care se desfăşoară pe o perioadă </w:t>
      </w:r>
      <w:r>
        <w:rPr>
          <w:rFonts w:ascii="Times New Roman" w:hAnsi="Times New Roman"/>
          <w:lang w:val="ro-RO"/>
        </w:rPr>
        <w:t xml:space="preserve">determinată </w:t>
      </w:r>
      <w:r w:rsidRPr="00C71830">
        <w:rPr>
          <w:rFonts w:ascii="Times New Roman" w:hAnsi="Times New Roman"/>
          <w:lang w:val="ro-RO"/>
        </w:rPr>
        <w:t>de timp</w:t>
      </w:r>
      <w:r>
        <w:rPr>
          <w:rFonts w:ascii="Times New Roman" w:hAnsi="Times New Roman"/>
          <w:lang w:val="ro-RO"/>
        </w:rPr>
        <w:t>,</w:t>
      </w:r>
      <w:r w:rsidRPr="00C71830">
        <w:rPr>
          <w:rFonts w:ascii="Times New Roman" w:hAnsi="Times New Roman"/>
          <w:lang w:val="ro-RO"/>
        </w:rPr>
        <w:t xml:space="preserve"> </w:t>
      </w:r>
    </w:p>
    <w:p w:rsidR="002F0B71" w:rsidRDefault="002F0B71" w:rsidP="002F0B71">
      <w:pPr>
        <w:pStyle w:val="ListParagraph"/>
        <w:numPr>
          <w:ilvl w:val="1"/>
          <w:numId w:val="1"/>
        </w:numPr>
        <w:tabs>
          <w:tab w:val="clear" w:pos="1080"/>
          <w:tab w:val="num" w:pos="851"/>
        </w:tabs>
        <w:spacing w:after="0" w:line="240" w:lineRule="auto"/>
        <w:ind w:left="851" w:hanging="131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 xml:space="preserve">determină formarea la elevi a unui comportament specific, generat prin integrarea unor competenţe specifice şi </w:t>
      </w:r>
    </w:p>
    <w:p w:rsidR="002F0B71" w:rsidRPr="007E0668" w:rsidRDefault="002F0B71" w:rsidP="002F0B71">
      <w:pPr>
        <w:pStyle w:val="ListParagraph"/>
        <w:numPr>
          <w:ilvl w:val="1"/>
          <w:numId w:val="1"/>
        </w:numPr>
        <w:tabs>
          <w:tab w:val="clear" w:pos="1080"/>
          <w:tab w:val="num" w:pos="851"/>
        </w:tabs>
        <w:spacing w:after="0" w:line="240" w:lineRule="auto"/>
        <w:ind w:left="851" w:hanging="131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 xml:space="preserve">se finalizează prin evaluare. </w:t>
      </w:r>
    </w:p>
    <w:p w:rsidR="002F0B71" w:rsidRPr="00C71830" w:rsidRDefault="002F0B71" w:rsidP="002F0B71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/>
          <w:lang w:val="ro-RO"/>
        </w:rPr>
      </w:pPr>
      <w:r w:rsidRPr="00C71830">
        <w:rPr>
          <w:rFonts w:ascii="Times New Roman" w:hAnsi="Times New Roman"/>
          <w:lang w:val="ro-RO"/>
        </w:rPr>
        <w:t>În mod corespunzător, proiectul unei unităţi de învăţare poate fi realizat, potrivit următorului tabel:</w:t>
      </w:r>
    </w:p>
    <w:p w:rsidR="002F0B71" w:rsidRDefault="002F0B71" w:rsidP="002F0B7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825"/>
        <w:gridCol w:w="2013"/>
        <w:gridCol w:w="1798"/>
        <w:gridCol w:w="1828"/>
      </w:tblGrid>
      <w:tr w:rsidR="002F0B71" w:rsidRPr="000908EC" w:rsidTr="00325F8B">
        <w:tc>
          <w:tcPr>
            <w:tcW w:w="1915" w:type="dxa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Conţinuturi</w:t>
            </w:r>
          </w:p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(detalieri)</w:t>
            </w:r>
          </w:p>
        </w:tc>
        <w:tc>
          <w:tcPr>
            <w:tcW w:w="1915" w:type="dxa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Competenţe specifice</w:t>
            </w:r>
          </w:p>
        </w:tc>
        <w:tc>
          <w:tcPr>
            <w:tcW w:w="1915" w:type="dxa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Activităţi de învăţare</w:t>
            </w:r>
          </w:p>
        </w:tc>
        <w:tc>
          <w:tcPr>
            <w:tcW w:w="1915" w:type="dxa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Resurse</w:t>
            </w:r>
          </w:p>
        </w:tc>
        <w:tc>
          <w:tcPr>
            <w:tcW w:w="1916" w:type="dxa"/>
            <w:shd w:val="clear" w:color="auto" w:fill="E0E0E0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908EC">
              <w:rPr>
                <w:rFonts w:ascii="Times New Roman" w:hAnsi="Times New Roman"/>
                <w:b/>
                <w:lang w:val="ro-RO"/>
              </w:rPr>
              <w:t>Evaluare</w:t>
            </w:r>
          </w:p>
        </w:tc>
      </w:tr>
      <w:tr w:rsidR="002F0B71" w:rsidRPr="000908EC" w:rsidTr="00325F8B"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fr-FR"/>
              </w:rPr>
            </w:pPr>
            <w:r w:rsidRPr="000908EC">
              <w:rPr>
                <w:rFonts w:ascii="Times New Roman" w:hAnsi="Times New Roman"/>
                <w:lang w:val="fr-FR"/>
              </w:rPr>
              <w:t>[</w:t>
            </w:r>
            <w:r w:rsidRPr="000908EC">
              <w:rPr>
                <w:rFonts w:ascii="Times New Roman" w:hAnsi="Times New Roman"/>
                <w:i/>
                <w:lang w:val="fr-FR"/>
              </w:rPr>
              <w:t xml:space="preserve">se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menţionează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detalieri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de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conţinut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care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explicitează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anumite</w:t>
            </w:r>
            <w:proofErr w:type="spellEnd"/>
            <w:r w:rsidRPr="000908E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0908EC">
              <w:rPr>
                <w:rFonts w:ascii="Times New Roman" w:hAnsi="Times New Roman"/>
                <w:i/>
                <w:lang w:val="fr-FR"/>
              </w:rPr>
              <w:t>parcursuri</w:t>
            </w:r>
            <w:proofErr w:type="spellEnd"/>
            <w:r w:rsidRPr="000908EC">
              <w:rPr>
                <w:rFonts w:ascii="Times New Roman" w:hAnsi="Times New Roman"/>
                <w:lang w:val="fr-FR"/>
              </w:rPr>
              <w:t>]</w:t>
            </w:r>
          </w:p>
        </w:tc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908EC">
              <w:rPr>
                <w:rFonts w:ascii="Times New Roman" w:hAnsi="Times New Roman"/>
                <w:lang w:val="it-IT"/>
              </w:rPr>
              <w:t>[</w:t>
            </w:r>
            <w:r w:rsidRPr="000908EC">
              <w:rPr>
                <w:rFonts w:ascii="Times New Roman" w:hAnsi="Times New Roman"/>
                <w:i/>
                <w:spacing w:val="-4"/>
                <w:lang w:val="ro-RO"/>
              </w:rPr>
              <w:t>se precizează competenţele specifice din programa şcolară</w:t>
            </w:r>
            <w:r w:rsidRPr="000908EC">
              <w:rPr>
                <w:rFonts w:ascii="Times New Roman" w:hAnsi="Times New Roman"/>
                <w:lang w:val="it-IT"/>
              </w:rPr>
              <w:t>]</w:t>
            </w:r>
          </w:p>
        </w:tc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908EC">
              <w:rPr>
                <w:rFonts w:ascii="Times New Roman" w:hAnsi="Times New Roman"/>
                <w:lang w:val="it-IT"/>
              </w:rPr>
              <w:t>[</w:t>
            </w:r>
            <w:r w:rsidRPr="000908EC">
              <w:rPr>
                <w:rFonts w:ascii="Times New Roman" w:hAnsi="Times New Roman"/>
                <w:i/>
                <w:lang w:val="it-IT"/>
              </w:rPr>
              <w:t>vizate/recomandate de programa şcolară sau altele</w:t>
            </w:r>
            <w:r w:rsidRPr="000908EC">
              <w:rPr>
                <w:rFonts w:ascii="Times New Roman" w:hAnsi="Times New Roman"/>
                <w:lang w:val="it-IT"/>
              </w:rPr>
              <w:t xml:space="preserve"> </w:t>
            </w:r>
            <w:r w:rsidRPr="000908EC">
              <w:rPr>
                <w:rFonts w:ascii="Times New Roman" w:hAnsi="Times New Roman"/>
                <w:i/>
                <w:lang w:val="it-IT"/>
              </w:rPr>
              <w:t>adecvate pentru realizarea competenţelor specifice</w:t>
            </w:r>
            <w:r w:rsidRPr="000908EC">
              <w:rPr>
                <w:rFonts w:ascii="Times New Roman" w:hAnsi="Times New Roman"/>
                <w:lang w:val="it-IT"/>
              </w:rPr>
              <w:t>]</w:t>
            </w:r>
          </w:p>
        </w:tc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908EC">
              <w:rPr>
                <w:rFonts w:ascii="Times New Roman" w:hAnsi="Times New Roman"/>
                <w:lang w:val="it-IT"/>
              </w:rPr>
              <w:t>[</w:t>
            </w:r>
            <w:r w:rsidRPr="000908EC">
              <w:rPr>
                <w:rFonts w:ascii="Times New Roman" w:hAnsi="Times New Roman"/>
                <w:i/>
                <w:lang w:val="it-IT"/>
              </w:rPr>
              <w:t>se precizează resurse de timp, de loc, material didactic, forme de organizare a clasei</w:t>
            </w:r>
            <w:r w:rsidRPr="000908EC">
              <w:rPr>
                <w:rFonts w:ascii="Times New Roman" w:hAnsi="Times New Roman"/>
                <w:lang w:val="it-IT"/>
              </w:rPr>
              <w:t>]</w:t>
            </w:r>
          </w:p>
        </w:tc>
        <w:tc>
          <w:tcPr>
            <w:tcW w:w="1916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908EC">
              <w:rPr>
                <w:rFonts w:ascii="Times New Roman" w:hAnsi="Times New Roman"/>
                <w:lang w:val="it-IT"/>
              </w:rPr>
              <w:t>[</w:t>
            </w:r>
            <w:r w:rsidRPr="000908EC">
              <w:rPr>
                <w:rFonts w:ascii="Times New Roman" w:hAnsi="Times New Roman"/>
                <w:i/>
                <w:spacing w:val="-4"/>
                <w:lang w:val="ro-RO"/>
              </w:rPr>
              <w:t xml:space="preserve">se menţionează instrumentele sau modalităţile de evaluare utilizate </w:t>
            </w:r>
            <w:r w:rsidRPr="000908EC">
              <w:rPr>
                <w:rFonts w:ascii="Times New Roman" w:hAnsi="Times New Roman"/>
                <w:lang w:val="it-IT"/>
              </w:rPr>
              <w:t>]</w:t>
            </w:r>
          </w:p>
        </w:tc>
      </w:tr>
      <w:tr w:rsidR="002F0B71" w:rsidRPr="000908EC" w:rsidTr="00325F8B"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15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16" w:type="dxa"/>
          </w:tcPr>
          <w:p w:rsidR="002F0B71" w:rsidRPr="000908EC" w:rsidRDefault="002F0B71" w:rsidP="00325F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it-IT"/>
              </w:rPr>
            </w:pPr>
          </w:p>
        </w:tc>
      </w:tr>
    </w:tbl>
    <w:p w:rsidR="002F0B71" w:rsidRPr="00460E4A" w:rsidRDefault="002F0B71" w:rsidP="002F0B71">
      <w:pPr>
        <w:rPr>
          <w:lang w:val="ro-RO"/>
        </w:rPr>
      </w:pPr>
    </w:p>
    <w:p w:rsidR="00FA6569" w:rsidRDefault="00FA6569"/>
    <w:sectPr w:rsidR="00FA6569" w:rsidSect="00FA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2DAD"/>
    <w:multiLevelType w:val="hybridMultilevel"/>
    <w:tmpl w:val="160AE020"/>
    <w:lvl w:ilvl="0" w:tplc="041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D201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0B71"/>
    <w:rsid w:val="002F0B71"/>
    <w:rsid w:val="0088573E"/>
    <w:rsid w:val="00E81C6F"/>
    <w:rsid w:val="00EE4294"/>
    <w:rsid w:val="00F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2F0B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2554</Characters>
  <Application>Microsoft Office Word</Application>
  <DocSecurity>0</DocSecurity>
  <Lines>21</Lines>
  <Paragraphs>5</Paragraphs>
  <ScaleCrop>false</ScaleCrop>
  <Company>Unitate Scolara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2018-04-25T12:07:00Z</dcterms:created>
  <dcterms:modified xsi:type="dcterms:W3CDTF">2018-04-25T12:08:00Z</dcterms:modified>
</cp:coreProperties>
</file>